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1AD" w:rsidRDefault="00F357A3" w:rsidP="00535E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D10C9">
        <w:rPr>
          <w:rFonts w:ascii="Times New Roman" w:hAnsi="Times New Roman"/>
          <w:b/>
          <w:sz w:val="32"/>
          <w:szCs w:val="36"/>
        </w:rPr>
        <w:t xml:space="preserve">Сводка поступивших предложений к </w:t>
      </w:r>
      <w:r w:rsidR="005D1DFB" w:rsidRPr="002D10C9">
        <w:rPr>
          <w:rFonts w:ascii="Times New Roman" w:hAnsi="Times New Roman"/>
          <w:b/>
          <w:sz w:val="32"/>
          <w:szCs w:val="36"/>
        </w:rPr>
        <w:t xml:space="preserve">проекту </w:t>
      </w:r>
      <w:r w:rsidR="00C6339F" w:rsidRPr="00C6339F">
        <w:rPr>
          <w:rFonts w:ascii="Times New Roman" w:hAnsi="Times New Roman"/>
          <w:b/>
          <w:sz w:val="32"/>
          <w:szCs w:val="36"/>
        </w:rPr>
        <w:t>инвестиционной программы ПАО «</w:t>
      </w:r>
      <w:r w:rsidR="00065297">
        <w:rPr>
          <w:rFonts w:ascii="Times New Roman" w:hAnsi="Times New Roman"/>
          <w:b/>
          <w:sz w:val="32"/>
          <w:szCs w:val="36"/>
        </w:rPr>
        <w:t>Россети Московский регион» на период 2015-2025 </w:t>
      </w:r>
      <w:r w:rsidR="00C6339F" w:rsidRPr="00C6339F">
        <w:rPr>
          <w:rFonts w:ascii="Times New Roman" w:hAnsi="Times New Roman"/>
          <w:b/>
          <w:sz w:val="32"/>
          <w:szCs w:val="36"/>
        </w:rPr>
        <w:t>годы, утвержденной приказом Минэнерго России от</w:t>
      </w:r>
      <w:r w:rsidR="00065297">
        <w:rPr>
          <w:rFonts w:ascii="Times New Roman" w:hAnsi="Times New Roman"/>
          <w:b/>
          <w:sz w:val="32"/>
          <w:szCs w:val="36"/>
        </w:rPr>
        <w:t> </w:t>
      </w:r>
      <w:r w:rsidR="00C6339F" w:rsidRPr="00C6339F">
        <w:rPr>
          <w:rFonts w:ascii="Times New Roman" w:hAnsi="Times New Roman"/>
          <w:b/>
          <w:sz w:val="32"/>
          <w:szCs w:val="36"/>
        </w:rPr>
        <w:t>16.10.2014 №</w:t>
      </w:r>
      <w:r w:rsidR="00065297">
        <w:rPr>
          <w:rFonts w:ascii="Times New Roman" w:hAnsi="Times New Roman"/>
          <w:b/>
          <w:sz w:val="32"/>
          <w:szCs w:val="36"/>
        </w:rPr>
        <w:t> </w:t>
      </w:r>
      <w:r w:rsidR="00C6339F" w:rsidRPr="00C6339F">
        <w:rPr>
          <w:rFonts w:ascii="Times New Roman" w:hAnsi="Times New Roman"/>
          <w:b/>
          <w:sz w:val="32"/>
          <w:szCs w:val="36"/>
        </w:rPr>
        <w:t>735 (в редакци</w:t>
      </w:r>
      <w:r w:rsidR="00065297">
        <w:rPr>
          <w:rFonts w:ascii="Times New Roman" w:hAnsi="Times New Roman"/>
          <w:b/>
          <w:sz w:val="32"/>
          <w:szCs w:val="36"/>
        </w:rPr>
        <w:t>и приказа Минэнерго России от 30</w:t>
      </w:r>
      <w:r w:rsidR="00C6339F" w:rsidRPr="00C6339F">
        <w:rPr>
          <w:rFonts w:ascii="Times New Roman" w:hAnsi="Times New Roman"/>
          <w:b/>
          <w:sz w:val="32"/>
          <w:szCs w:val="36"/>
        </w:rPr>
        <w:t>.12.20</w:t>
      </w:r>
      <w:r w:rsidR="00065297">
        <w:rPr>
          <w:rFonts w:ascii="Times New Roman" w:hAnsi="Times New Roman"/>
          <w:b/>
          <w:sz w:val="32"/>
          <w:szCs w:val="36"/>
        </w:rPr>
        <w:t>20 № </w:t>
      </w:r>
      <w:r w:rsidR="00C6339F" w:rsidRPr="00C6339F">
        <w:rPr>
          <w:rFonts w:ascii="Times New Roman" w:hAnsi="Times New Roman"/>
          <w:b/>
          <w:sz w:val="32"/>
          <w:szCs w:val="36"/>
        </w:rPr>
        <w:t>33@)</w:t>
      </w:r>
      <w:r w:rsidRPr="00C6339F">
        <w:rPr>
          <w:rFonts w:ascii="Times New Roman" w:hAnsi="Times New Roman"/>
          <w:b/>
          <w:sz w:val="32"/>
          <w:szCs w:val="36"/>
        </w:rPr>
        <w:t>.</w:t>
      </w:r>
    </w:p>
    <w:p w:rsidR="005F6463" w:rsidRPr="00535E5C" w:rsidRDefault="005F6463" w:rsidP="00D17D1A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24"/>
        </w:rPr>
      </w:pPr>
    </w:p>
    <w:p w:rsidR="00975C16" w:rsidRPr="00C630E1" w:rsidRDefault="00F357A3" w:rsidP="003322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5096">
        <w:rPr>
          <w:rFonts w:ascii="Times New Roman" w:hAnsi="Times New Roman" w:cs="Times New Roman"/>
          <w:sz w:val="28"/>
          <w:szCs w:val="28"/>
        </w:rPr>
        <w:t>В соответствии с тре</w:t>
      </w:r>
      <w:r w:rsidR="00540D07" w:rsidRPr="00165096">
        <w:rPr>
          <w:rFonts w:ascii="Times New Roman" w:hAnsi="Times New Roman" w:cs="Times New Roman"/>
          <w:sz w:val="28"/>
          <w:szCs w:val="28"/>
        </w:rPr>
        <w:t>бованиями п. </w:t>
      </w:r>
      <w:r w:rsidR="00065297">
        <w:rPr>
          <w:rFonts w:ascii="Times New Roman" w:hAnsi="Times New Roman" w:cs="Times New Roman"/>
          <w:sz w:val="28"/>
          <w:szCs w:val="28"/>
        </w:rPr>
        <w:t>6</w:t>
      </w:r>
      <w:r w:rsidRPr="00165096">
        <w:rPr>
          <w:rFonts w:ascii="Times New Roman" w:hAnsi="Times New Roman" w:cs="Times New Roman"/>
          <w:sz w:val="28"/>
          <w:szCs w:val="28"/>
        </w:rPr>
        <w:t xml:space="preserve"> Правил утверждения инвестиционных программ субъектов энергетики, утвержденных Постановлением Правит</w:t>
      </w:r>
      <w:r w:rsidR="00065297">
        <w:rPr>
          <w:rFonts w:ascii="Times New Roman" w:hAnsi="Times New Roman" w:cs="Times New Roman"/>
          <w:sz w:val="28"/>
          <w:szCs w:val="28"/>
        </w:rPr>
        <w:t>ельства Российской Федерации от </w:t>
      </w:r>
      <w:r w:rsidRPr="00165096">
        <w:rPr>
          <w:rFonts w:ascii="Times New Roman" w:hAnsi="Times New Roman" w:cs="Times New Roman"/>
          <w:sz w:val="28"/>
          <w:szCs w:val="28"/>
        </w:rPr>
        <w:t>01.12.2009 №</w:t>
      </w:r>
      <w:r w:rsidR="00065297">
        <w:rPr>
          <w:rFonts w:ascii="Times New Roman" w:hAnsi="Times New Roman" w:cs="Times New Roman"/>
          <w:sz w:val="28"/>
          <w:szCs w:val="28"/>
        </w:rPr>
        <w:t> </w:t>
      </w:r>
      <w:r w:rsidRPr="00165096">
        <w:rPr>
          <w:rFonts w:ascii="Times New Roman" w:hAnsi="Times New Roman" w:cs="Times New Roman"/>
          <w:sz w:val="28"/>
          <w:szCs w:val="28"/>
        </w:rPr>
        <w:t xml:space="preserve">977, </w:t>
      </w:r>
      <w:r w:rsidR="00065297">
        <w:rPr>
          <w:rFonts w:ascii="Times New Roman" w:hAnsi="Times New Roman" w:cs="Times New Roman"/>
          <w:sz w:val="28"/>
          <w:szCs w:val="28"/>
        </w:rPr>
        <w:t>в период до 15</w:t>
      </w:r>
      <w:r w:rsidR="00D93336" w:rsidRPr="00165096">
        <w:rPr>
          <w:rFonts w:ascii="Times New Roman" w:hAnsi="Times New Roman" w:cs="Times New Roman"/>
          <w:sz w:val="28"/>
          <w:szCs w:val="28"/>
        </w:rPr>
        <w:t xml:space="preserve"> </w:t>
      </w:r>
      <w:r w:rsidR="00065297">
        <w:rPr>
          <w:rFonts w:ascii="Times New Roman" w:hAnsi="Times New Roman" w:cs="Times New Roman"/>
          <w:sz w:val="28"/>
          <w:szCs w:val="28"/>
        </w:rPr>
        <w:t>января 2020 </w:t>
      </w:r>
      <w:r w:rsidR="00D93336" w:rsidRPr="00165096">
        <w:rPr>
          <w:rFonts w:ascii="Times New Roman" w:hAnsi="Times New Roman" w:cs="Times New Roman"/>
          <w:sz w:val="28"/>
          <w:szCs w:val="28"/>
        </w:rPr>
        <w:t xml:space="preserve">года поступили следующие </w:t>
      </w:r>
      <w:r w:rsidRPr="00165096">
        <w:rPr>
          <w:rFonts w:ascii="Times New Roman" w:hAnsi="Times New Roman" w:cs="Times New Roman"/>
          <w:sz w:val="28"/>
          <w:szCs w:val="28"/>
        </w:rPr>
        <w:t>предложени</w:t>
      </w:r>
      <w:r w:rsidR="00D93336" w:rsidRPr="00165096">
        <w:rPr>
          <w:rFonts w:ascii="Times New Roman" w:hAnsi="Times New Roman" w:cs="Times New Roman"/>
          <w:sz w:val="28"/>
          <w:szCs w:val="28"/>
        </w:rPr>
        <w:t>я</w:t>
      </w:r>
      <w:r w:rsidRPr="00165096">
        <w:rPr>
          <w:rFonts w:ascii="Times New Roman" w:hAnsi="Times New Roman" w:cs="Times New Roman"/>
          <w:sz w:val="28"/>
          <w:szCs w:val="28"/>
        </w:rPr>
        <w:t xml:space="preserve"> по корректировке </w:t>
      </w:r>
      <w:r w:rsidR="00CF1CAC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Pr="00165096">
        <w:rPr>
          <w:rFonts w:ascii="Times New Roman" w:hAnsi="Times New Roman" w:cs="Times New Roman"/>
          <w:sz w:val="28"/>
          <w:szCs w:val="28"/>
        </w:rPr>
        <w:t>инвестиционной про</w:t>
      </w:r>
      <w:r w:rsidR="00D93336" w:rsidRPr="00165096">
        <w:rPr>
          <w:rFonts w:ascii="Times New Roman" w:hAnsi="Times New Roman" w:cs="Times New Roman"/>
          <w:sz w:val="28"/>
          <w:szCs w:val="28"/>
        </w:rPr>
        <w:t>граммы ПАО «</w:t>
      </w:r>
      <w:r w:rsidR="00065297">
        <w:rPr>
          <w:rFonts w:ascii="Times New Roman" w:hAnsi="Times New Roman" w:cs="Times New Roman"/>
          <w:sz w:val="28"/>
          <w:szCs w:val="28"/>
        </w:rPr>
        <w:t>Россети Московский регион</w:t>
      </w:r>
      <w:r w:rsidR="00D93336" w:rsidRPr="00165096">
        <w:rPr>
          <w:rFonts w:ascii="Times New Roman" w:hAnsi="Times New Roman" w:cs="Times New Roman"/>
          <w:sz w:val="28"/>
          <w:szCs w:val="28"/>
        </w:rPr>
        <w:t>»:</w:t>
      </w:r>
    </w:p>
    <w:tbl>
      <w:tblPr>
        <w:tblW w:w="503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985"/>
        <w:gridCol w:w="1417"/>
        <w:gridCol w:w="1842"/>
        <w:gridCol w:w="1136"/>
        <w:gridCol w:w="992"/>
        <w:gridCol w:w="9214"/>
        <w:gridCol w:w="5915"/>
      </w:tblGrid>
      <w:tr w:rsidR="009F6AC1" w:rsidRPr="005F6463" w:rsidTr="009F6AC1">
        <w:trPr>
          <w:trHeight w:val="995"/>
          <w:tblHeader/>
        </w:trPr>
        <w:tc>
          <w:tcPr>
            <w:tcW w:w="123" w:type="pct"/>
            <w:shd w:val="clear" w:color="auto" w:fill="auto"/>
            <w:vAlign w:val="center"/>
            <w:hideMark/>
          </w:tcPr>
          <w:p w:rsidR="00150610" w:rsidRPr="00D67427" w:rsidRDefault="00150610" w:rsidP="005F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7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150610" w:rsidRPr="00D67427" w:rsidRDefault="00150610" w:rsidP="005F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7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Регистрационный идентификатор обращения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:rsidR="00150610" w:rsidRPr="00D67427" w:rsidRDefault="00150610" w:rsidP="005F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7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обращения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150610" w:rsidRPr="00D67427" w:rsidRDefault="00150610" w:rsidP="005F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Контактные данные </w:t>
            </w:r>
            <w:r w:rsidRPr="00D67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обратившегося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:rsidR="00150610" w:rsidRPr="00D67427" w:rsidRDefault="00150610" w:rsidP="005F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7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215" w:type="pct"/>
            <w:vAlign w:val="center"/>
          </w:tcPr>
          <w:p w:rsidR="00150610" w:rsidRPr="00D67427" w:rsidRDefault="00150610" w:rsidP="00150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Пункт обращения</w:t>
            </w:r>
          </w:p>
        </w:tc>
        <w:tc>
          <w:tcPr>
            <w:tcW w:w="1997" w:type="pct"/>
            <w:shd w:val="clear" w:color="auto" w:fill="auto"/>
            <w:vAlign w:val="center"/>
            <w:hideMark/>
          </w:tcPr>
          <w:p w:rsidR="00150610" w:rsidRPr="00D67427" w:rsidRDefault="00150610" w:rsidP="005F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7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Предложение обратившегося</w:t>
            </w:r>
          </w:p>
        </w:tc>
        <w:tc>
          <w:tcPr>
            <w:tcW w:w="1282" w:type="pct"/>
            <w:shd w:val="clear" w:color="auto" w:fill="auto"/>
            <w:vAlign w:val="center"/>
            <w:hideMark/>
          </w:tcPr>
          <w:p w:rsidR="00150610" w:rsidRPr="00150610" w:rsidRDefault="00150610" w:rsidP="00150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7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 об учете предложения в проек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 инвестиционной программы ПАО «Россети Московский регион»</w:t>
            </w:r>
          </w:p>
        </w:tc>
      </w:tr>
      <w:tr w:rsidR="00C630E1" w:rsidRPr="00586094" w:rsidTr="009F6AC1">
        <w:trPr>
          <w:trHeight w:val="300"/>
        </w:trPr>
        <w:tc>
          <w:tcPr>
            <w:tcW w:w="123" w:type="pct"/>
            <w:vMerge w:val="restart"/>
            <w:shd w:val="clear" w:color="auto" w:fill="auto"/>
            <w:noWrap/>
            <w:vAlign w:val="center"/>
          </w:tcPr>
          <w:p w:rsidR="00C630E1" w:rsidRPr="00586094" w:rsidRDefault="00C630E1" w:rsidP="00C630E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" w:type="pct"/>
            <w:vMerge w:val="restart"/>
            <w:shd w:val="clear" w:color="auto" w:fill="auto"/>
            <w:vAlign w:val="center"/>
          </w:tcPr>
          <w:p w:rsidR="00C630E1" w:rsidRPr="00D67427" w:rsidRDefault="00C630E1" w:rsidP="00C630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РМР/Вх-839</w:t>
            </w:r>
          </w:p>
        </w:tc>
        <w:tc>
          <w:tcPr>
            <w:tcW w:w="307" w:type="pct"/>
            <w:vMerge w:val="restart"/>
            <w:shd w:val="clear" w:color="auto" w:fill="auto"/>
            <w:vAlign w:val="center"/>
          </w:tcPr>
          <w:p w:rsidR="00C630E1" w:rsidRPr="00D67427" w:rsidRDefault="00C630E1" w:rsidP="00C630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15.02.2021</w:t>
            </w:r>
          </w:p>
        </w:tc>
        <w:tc>
          <w:tcPr>
            <w:tcW w:w="399" w:type="pct"/>
            <w:vMerge w:val="restart"/>
            <w:shd w:val="clear" w:color="auto" w:fill="auto"/>
            <w:vAlign w:val="center"/>
          </w:tcPr>
          <w:p w:rsidR="00C630E1" w:rsidRPr="00D67427" w:rsidRDefault="00C630E1" w:rsidP="00C630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«Объединенная энергетическая компания»</w:t>
            </w:r>
          </w:p>
        </w:tc>
        <w:tc>
          <w:tcPr>
            <w:tcW w:w="246" w:type="pct"/>
            <w:vMerge w:val="restart"/>
            <w:shd w:val="clear" w:color="auto" w:fill="auto"/>
            <w:vAlign w:val="center"/>
          </w:tcPr>
          <w:p w:rsidR="00C630E1" w:rsidRPr="00D67427" w:rsidRDefault="00C630E1" w:rsidP="00C630E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7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М/МО</w:t>
            </w:r>
          </w:p>
        </w:tc>
        <w:tc>
          <w:tcPr>
            <w:tcW w:w="215" w:type="pct"/>
            <w:vAlign w:val="center"/>
          </w:tcPr>
          <w:p w:rsidR="00C630E1" w:rsidRPr="00150610" w:rsidRDefault="00C630E1" w:rsidP="00C630E1">
            <w:pPr>
              <w:pStyle w:val="a9"/>
              <w:jc w:val="center"/>
            </w:pPr>
            <w:r w:rsidRPr="00150610">
              <w:t>1</w:t>
            </w:r>
          </w:p>
        </w:tc>
        <w:tc>
          <w:tcPr>
            <w:tcW w:w="1997" w:type="pct"/>
            <w:shd w:val="clear" w:color="auto" w:fill="auto"/>
            <w:vAlign w:val="center"/>
          </w:tcPr>
          <w:p w:rsidR="00C630E1" w:rsidRDefault="00C630E1" w:rsidP="00C630E1">
            <w:pPr>
              <w:pStyle w:val="a9"/>
              <w:jc w:val="both"/>
            </w:pPr>
            <w:r>
              <w:t>Скорректировать утвержденный срок постановки объекта электросетевого хозяйства под напряжение по инвестиционному проекту (</w:t>
            </w:r>
            <w:r>
              <w:rPr>
                <w:lang w:val="en-US"/>
              </w:rPr>
              <w:t>E</w:t>
            </w:r>
            <w:r w:rsidRPr="004537BD">
              <w:t>_</w:t>
            </w:r>
            <w:r>
              <w:rPr>
                <w:lang w:val="en-US"/>
              </w:rPr>
              <w:t>I</w:t>
            </w:r>
            <w:r w:rsidRPr="004537BD">
              <w:t xml:space="preserve">-184512) </w:t>
            </w:r>
            <w:r>
              <w:t>Реконструкция ВЛ-110 кВ «Бирюлево-Битца» (14,8 км;14 800 </w:t>
            </w:r>
            <w:proofErr w:type="spellStart"/>
            <w:r>
              <w:t>п.м</w:t>
            </w:r>
            <w:proofErr w:type="spellEnd"/>
            <w:r>
              <w:t>.; 6 шт.(прочие)) на 1 квартал 2021 года.</w:t>
            </w:r>
          </w:p>
          <w:p w:rsidR="00C630E1" w:rsidRDefault="00C630E1" w:rsidP="00C630E1">
            <w:pPr>
              <w:pStyle w:val="a9"/>
              <w:jc w:val="both"/>
            </w:pPr>
            <w:r w:rsidRPr="005E2A2C">
              <w:rPr>
                <w:b/>
              </w:rPr>
              <w:t>Обоснование предложения по корректировке:</w:t>
            </w:r>
            <w:r>
              <w:t xml:space="preserve"> Наличие обременений Московского РДУ по ПС «Битца» «Реконструкция с увеличением пропускной способности ЛЭП 110 кВ Бирюлево-Битца (с сооружением кабельных заходов на ПС 220/110 Бутово)», а также ПС «Грач» «Строительство заходов ВЛ 220 кВ ТЭЦ-26-Ясенево на ПС 220 Бутово с образованием новых КВЛ 220 кВ ТЭЦ-26 – Бутово </w:t>
            </w:r>
            <w:r>
              <w:rPr>
                <w:lang w:val="en-US"/>
              </w:rPr>
              <w:t>II</w:t>
            </w:r>
            <w:r w:rsidRPr="00065297">
              <w:t xml:space="preserve"> </w:t>
            </w:r>
            <w:r>
              <w:t xml:space="preserve">цепь и КВЛ 220 кВ Бутово – Ясенево </w:t>
            </w:r>
            <w:r>
              <w:rPr>
                <w:lang w:val="en-US"/>
              </w:rPr>
              <w:t>II</w:t>
            </w:r>
            <w:r w:rsidRPr="00065297">
              <w:t xml:space="preserve"> </w:t>
            </w:r>
            <w:r>
              <w:t>цепь. Пропускную способность вновь образованных КВЛ 220 кВ определить проектом» и не выполнение ПАО «Россети Московский Регион» инвестиционного проекта в более ранее сроки не позволяет АО «ОЭК» своевременно осуществить присоединение по заключенным договорам об осуществлении технологического присоединения, среди которых:</w:t>
            </w:r>
          </w:p>
          <w:p w:rsidR="00C630E1" w:rsidRDefault="00C630E1" w:rsidP="00C630E1">
            <w:pPr>
              <w:pStyle w:val="a9"/>
              <w:jc w:val="both"/>
            </w:pPr>
            <w:r>
              <w:t xml:space="preserve">- ООО «А 101» - </w:t>
            </w:r>
            <w:proofErr w:type="spellStart"/>
            <w:r>
              <w:t>г.Москва</w:t>
            </w:r>
            <w:proofErr w:type="spellEnd"/>
            <w:r>
              <w:t>, НАО, пос. </w:t>
            </w:r>
            <w:proofErr w:type="spellStart"/>
            <w:r>
              <w:t>Сосенское</w:t>
            </w:r>
            <w:proofErr w:type="spellEnd"/>
            <w:r>
              <w:t>, пос. Коммунарка</w:t>
            </w:r>
          </w:p>
          <w:p w:rsidR="00C630E1" w:rsidRDefault="00C630E1" w:rsidP="00C630E1">
            <w:pPr>
              <w:pStyle w:val="a9"/>
              <w:jc w:val="both"/>
            </w:pPr>
            <w:r>
              <w:t xml:space="preserve">- ООО «Энергии Технологии» - г. Москва, </w:t>
            </w:r>
            <w:proofErr w:type="spellStart"/>
            <w:r>
              <w:t>ул.Старокрымская</w:t>
            </w:r>
            <w:proofErr w:type="spellEnd"/>
            <w:r>
              <w:t>, вл. 13</w:t>
            </w:r>
          </w:p>
          <w:p w:rsidR="00C630E1" w:rsidRDefault="00C630E1" w:rsidP="00C630E1">
            <w:pPr>
              <w:pStyle w:val="a9"/>
              <w:jc w:val="both"/>
            </w:pPr>
            <w:r>
              <w:t>- ООО «Энергии Технологии» - г. Москва, НАО, с/о Рязановский, вблизи д. </w:t>
            </w:r>
            <w:proofErr w:type="spellStart"/>
            <w:r>
              <w:t>Остафьево</w:t>
            </w:r>
            <w:proofErr w:type="spellEnd"/>
          </w:p>
          <w:p w:rsidR="00C630E1" w:rsidRPr="00065297" w:rsidRDefault="00C630E1" w:rsidP="00C630E1">
            <w:pPr>
              <w:pStyle w:val="a9"/>
              <w:jc w:val="both"/>
            </w:pPr>
            <w:r>
              <w:t>- объект ГУП «Московский метрополитен»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C630E1" w:rsidRDefault="00C630E1" w:rsidP="00C63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Сроки реализации и другие параметры инвестиционного проекта </w:t>
            </w:r>
            <w:r w:rsidRPr="005E0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E_I-184512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0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ВЛ-110 кВ «Бирюлево-Битца»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скорректированы по указанным предложениям в связи с тем, что данные мероприятия подлежат реализации в рамках соглашения о компенсации потерь с третьим лицом (далее - Соглашение), которое планировалось заключить на основании утвержденной проектно-сметной документации. ПСД утверждена, Соглашение находится на стадии подписания сторон.</w:t>
            </w:r>
          </w:p>
          <w:p w:rsidR="00C630E1" w:rsidRPr="005E0FD9" w:rsidRDefault="00C630E1" w:rsidP="00C63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заключения Соглашения мероприятия будут включены отдельным титулом в проект корректировки инвестиционной программы ПАО «Россети Московский регион».</w:t>
            </w:r>
          </w:p>
        </w:tc>
      </w:tr>
      <w:tr w:rsidR="009F6AC1" w:rsidRPr="00586094" w:rsidTr="009F6AC1">
        <w:trPr>
          <w:trHeight w:val="300"/>
        </w:trPr>
        <w:tc>
          <w:tcPr>
            <w:tcW w:w="123" w:type="pct"/>
            <w:vMerge/>
            <w:shd w:val="clear" w:color="auto" w:fill="auto"/>
            <w:noWrap/>
            <w:vAlign w:val="center"/>
          </w:tcPr>
          <w:p w:rsidR="00150610" w:rsidRDefault="00150610" w:rsidP="0012773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shd w:val="clear" w:color="auto" w:fill="auto"/>
            <w:vAlign w:val="center"/>
          </w:tcPr>
          <w:p w:rsidR="00150610" w:rsidRDefault="00150610" w:rsidP="00127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shd w:val="clear" w:color="auto" w:fill="auto"/>
            <w:vAlign w:val="center"/>
          </w:tcPr>
          <w:p w:rsidR="00150610" w:rsidRDefault="00150610" w:rsidP="00065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vMerge/>
            <w:shd w:val="clear" w:color="auto" w:fill="auto"/>
            <w:vAlign w:val="center"/>
          </w:tcPr>
          <w:p w:rsidR="00150610" w:rsidRDefault="00150610" w:rsidP="00127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vMerge/>
            <w:shd w:val="clear" w:color="auto" w:fill="auto"/>
            <w:vAlign w:val="center"/>
          </w:tcPr>
          <w:p w:rsidR="00150610" w:rsidRPr="00D67427" w:rsidRDefault="00150610" w:rsidP="001277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150610" w:rsidRPr="00150610" w:rsidRDefault="00150610" w:rsidP="00150610">
            <w:pPr>
              <w:pStyle w:val="a9"/>
              <w:jc w:val="center"/>
            </w:pPr>
            <w:r w:rsidRPr="00150610">
              <w:t>2</w:t>
            </w:r>
          </w:p>
        </w:tc>
        <w:tc>
          <w:tcPr>
            <w:tcW w:w="1997" w:type="pct"/>
            <w:shd w:val="clear" w:color="auto" w:fill="auto"/>
            <w:vAlign w:val="center"/>
          </w:tcPr>
          <w:p w:rsidR="00150610" w:rsidRDefault="00150610" w:rsidP="004537BD">
            <w:pPr>
              <w:pStyle w:val="a9"/>
              <w:jc w:val="both"/>
            </w:pPr>
            <w:r>
              <w:t>Скорректировать утвержденный срок постановки объектов электросетевого хозяйства под напряжение по инвестиционным проектам (</w:t>
            </w:r>
            <w:r>
              <w:rPr>
                <w:lang w:val="en-US"/>
              </w:rPr>
              <w:t>E</w:t>
            </w:r>
            <w:r w:rsidRPr="004537BD">
              <w:t>_</w:t>
            </w:r>
            <w:r>
              <w:rPr>
                <w:lang w:val="en-US"/>
              </w:rPr>
              <w:t>I</w:t>
            </w:r>
            <w:r w:rsidRPr="004537BD">
              <w:t xml:space="preserve">-139024) </w:t>
            </w:r>
            <w:r>
              <w:t>Строительство ВЛ 110 кВ Саввинская-Успенская 1,2 (20 км), (</w:t>
            </w:r>
            <w:r>
              <w:rPr>
                <w:lang w:val="en-US"/>
              </w:rPr>
              <w:t>E</w:t>
            </w:r>
            <w:r w:rsidRPr="004537BD">
              <w:t>_</w:t>
            </w:r>
            <w:r>
              <w:rPr>
                <w:lang w:val="en-US"/>
              </w:rPr>
              <w:t>I</w:t>
            </w:r>
            <w:r w:rsidRPr="004537BD">
              <w:t xml:space="preserve">-139025) </w:t>
            </w:r>
            <w:r>
              <w:t>Строительство ВЛ 110 кВ Саввинская-Звенигород 1,2 (4 км) на 2022 года.</w:t>
            </w:r>
          </w:p>
          <w:p w:rsidR="00150610" w:rsidRDefault="00150610" w:rsidP="004537BD">
            <w:pPr>
              <w:pStyle w:val="a9"/>
              <w:jc w:val="both"/>
            </w:pPr>
            <w:r w:rsidRPr="005E2A2C">
              <w:rPr>
                <w:b/>
              </w:rPr>
              <w:t>Обоснование предложения по корректировке:</w:t>
            </w:r>
            <w:r>
              <w:rPr>
                <w:b/>
              </w:rPr>
              <w:t xml:space="preserve"> </w:t>
            </w:r>
            <w:r>
              <w:t>Наличие обременений Московского РДУ по ПС «</w:t>
            </w:r>
            <w:proofErr w:type="spellStart"/>
            <w:r>
              <w:t>НовоВнуково</w:t>
            </w:r>
            <w:proofErr w:type="spellEnd"/>
            <w:r>
              <w:t xml:space="preserve">» «Усиление существующей электрической сети в </w:t>
            </w:r>
            <w:proofErr w:type="spellStart"/>
            <w:r>
              <w:t>энергорайоне</w:t>
            </w:r>
            <w:proofErr w:type="spellEnd"/>
            <w:r>
              <w:t xml:space="preserve"> ПС 220 кВ </w:t>
            </w:r>
            <w:proofErr w:type="spellStart"/>
            <w:r>
              <w:t>Нововнуков</w:t>
            </w:r>
            <w:proofErr w:type="spellEnd"/>
            <w:r>
              <w:t xml:space="preserve">» (строительство ПС 220 кВ Саввинская с установкой 2хАТ 220/110/10 кВ 250 МВА каждый, сооружение заходов на ПС 220 кВ Саввинская КВЛ 220 Дорохово – Слобода </w:t>
            </w:r>
            <w:r>
              <w:rPr>
                <w:lang w:val="en-US"/>
              </w:rPr>
              <w:t>I</w:t>
            </w:r>
            <w:r w:rsidRPr="00BF604C">
              <w:t xml:space="preserve">, </w:t>
            </w:r>
            <w:r>
              <w:rPr>
                <w:lang w:val="en-US"/>
              </w:rPr>
              <w:t>II</w:t>
            </w:r>
            <w:r w:rsidRPr="00BF604C">
              <w:t xml:space="preserve"> </w:t>
            </w:r>
            <w:r>
              <w:t xml:space="preserve">цепь, сооружение ВЛ 110 кВ Саввинская – Звенигород </w:t>
            </w:r>
            <w:r>
              <w:rPr>
                <w:lang w:val="en-US"/>
              </w:rPr>
              <w:t>I</w:t>
            </w:r>
            <w:r w:rsidRPr="00BF604C">
              <w:t xml:space="preserve">, </w:t>
            </w:r>
            <w:r>
              <w:rPr>
                <w:lang w:val="en-US"/>
              </w:rPr>
              <w:t>II</w:t>
            </w:r>
            <w:r w:rsidRPr="00BF604C">
              <w:t xml:space="preserve"> </w:t>
            </w:r>
            <w:r>
              <w:t xml:space="preserve">цепь и ВЛ 110 кВ Саввинская – Успенская </w:t>
            </w:r>
            <w:r>
              <w:rPr>
                <w:lang w:val="en-US"/>
              </w:rPr>
              <w:t>I</w:t>
            </w:r>
            <w:r w:rsidRPr="00BF604C">
              <w:t xml:space="preserve">, </w:t>
            </w:r>
            <w:r>
              <w:rPr>
                <w:lang w:val="en-US"/>
              </w:rPr>
              <w:t>II</w:t>
            </w:r>
            <w:r w:rsidRPr="00BF604C">
              <w:t xml:space="preserve"> </w:t>
            </w:r>
            <w:r>
              <w:t>цепь, а также перевод ВЛ 35 кВ Успенская – Голицыно на напряжение 110 кВ;» и не выполнение ПАО «Россети Московский Регион» инвестиционного проекта в более ранее сроки не позволяет АО «ОЭК» своевременно осуществить присоединение по заключенным договорам об осуществлении технологического присоединения Настоящее время в АО «ОЭК» имеются следующие заявки об осуществлении технологического присоединения от ПС «Нововнуково»:</w:t>
            </w:r>
          </w:p>
          <w:p w:rsidR="00150610" w:rsidRDefault="00150610" w:rsidP="004537BD">
            <w:pPr>
              <w:pStyle w:val="a9"/>
              <w:jc w:val="both"/>
            </w:pPr>
            <w:r>
              <w:t>- ООО «</w:t>
            </w:r>
            <w:proofErr w:type="spellStart"/>
            <w:r>
              <w:t>Трансстройинвест</w:t>
            </w:r>
            <w:proofErr w:type="spellEnd"/>
            <w:r>
              <w:t xml:space="preserve"> </w:t>
            </w:r>
            <w:proofErr w:type="spellStart"/>
            <w:r>
              <w:t>Девелопмент</w:t>
            </w:r>
            <w:proofErr w:type="spellEnd"/>
            <w:r>
              <w:t xml:space="preserve">» г. Москва, НАО, </w:t>
            </w:r>
            <w:proofErr w:type="spellStart"/>
            <w:r>
              <w:t>п.Марушкинское</w:t>
            </w:r>
            <w:proofErr w:type="spellEnd"/>
            <w:r>
              <w:t>, д. </w:t>
            </w:r>
            <w:proofErr w:type="spellStart"/>
            <w:r>
              <w:t>Постниково</w:t>
            </w:r>
            <w:proofErr w:type="spellEnd"/>
            <w:r>
              <w:t>.</w:t>
            </w:r>
          </w:p>
          <w:p w:rsidR="00150610" w:rsidRDefault="00150610" w:rsidP="004537BD">
            <w:pPr>
              <w:pStyle w:val="a9"/>
              <w:jc w:val="both"/>
            </w:pPr>
            <w:r>
              <w:t>- ООО «</w:t>
            </w:r>
            <w:proofErr w:type="spellStart"/>
            <w:r>
              <w:t>ИнвестАльянс</w:t>
            </w:r>
            <w:proofErr w:type="spellEnd"/>
            <w:r>
              <w:t xml:space="preserve">» г. Москва, </w:t>
            </w:r>
            <w:proofErr w:type="spellStart"/>
            <w:r>
              <w:t>п.Филимоновское</w:t>
            </w:r>
            <w:proofErr w:type="spellEnd"/>
            <w:r>
              <w:t>, ОАО «</w:t>
            </w:r>
            <w:proofErr w:type="spellStart"/>
            <w:r>
              <w:t>Марьинская</w:t>
            </w:r>
            <w:proofErr w:type="spellEnd"/>
            <w:r>
              <w:t xml:space="preserve"> Птицефабрика».</w:t>
            </w:r>
          </w:p>
          <w:p w:rsidR="00150610" w:rsidRPr="00BF604C" w:rsidRDefault="00150610" w:rsidP="004537BD">
            <w:pPr>
              <w:pStyle w:val="a9"/>
              <w:jc w:val="both"/>
            </w:pPr>
            <w:r>
              <w:t>- Общество с ограниченной ответственностью «Переделкино Ближнее» г. Москва, п. </w:t>
            </w:r>
            <w:proofErr w:type="spellStart"/>
            <w:r>
              <w:t>Внуковское</w:t>
            </w:r>
            <w:proofErr w:type="spellEnd"/>
            <w:r>
              <w:t>, д. </w:t>
            </w:r>
            <w:proofErr w:type="spellStart"/>
            <w:r>
              <w:t>Рассказовка</w:t>
            </w:r>
            <w:proofErr w:type="spellEnd"/>
            <w:r>
              <w:t>, уч. № 13/1, 13/2, 13/4.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1C223B" w:rsidRDefault="001C223B" w:rsidP="001C223B">
            <w:pPr>
              <w:pStyle w:val="Default"/>
              <w:jc w:val="both"/>
            </w:pPr>
            <w:r>
              <w:t>Предложения не учтены в проекте корректировки ИПР, в связи с тем, что в настоящий момент у</w:t>
            </w:r>
            <w:r w:rsidR="00CD6805">
              <w:t xml:space="preserve"> ПАО</w:t>
            </w:r>
            <w:r>
              <w:t> </w:t>
            </w:r>
            <w:r w:rsidR="00CD6805">
              <w:t>«Россети Московский регион» отсутствуют обязательства перед АО</w:t>
            </w:r>
            <w:r>
              <w:t> </w:t>
            </w:r>
            <w:r w:rsidR="00CD6805">
              <w:t>«ОЭК» по заключенным договорам ТП по указанным в предложениях мероприятиям</w:t>
            </w:r>
            <w:r>
              <w:t>, о чем АО «ОЭК» уведомлен</w:t>
            </w:r>
            <w:r w:rsidR="004C125D">
              <w:t>о</w:t>
            </w:r>
            <w:r>
              <w:t xml:space="preserve"> в официальном порядке.</w:t>
            </w:r>
          </w:p>
          <w:p w:rsidR="00AE0C84" w:rsidRPr="00246607" w:rsidRDefault="00AE0C84" w:rsidP="00AE0C84">
            <w:pPr>
              <w:pStyle w:val="Default"/>
              <w:jc w:val="both"/>
            </w:pPr>
            <w:r w:rsidRPr="00246607">
              <w:t xml:space="preserve">Кроме того необходимость реализации мероприятий по строительству ПС 220 кВ Саввинская с заходами КВЛ 220 Дорохово – Слобода I, II цепь и, соответственно, сооружение ВЛ 110 кВ Саввинская – Звенигород I, II цепь и ВЛ 110 кВ Саввинская – Успенская I, II цепь, должна быть подтверждена Схемой и программой развития Единой энергетической системы России на 2021-2027 </w:t>
            </w:r>
            <w:proofErr w:type="gramStart"/>
            <w:r w:rsidRPr="00246607">
              <w:t>гг. ,</w:t>
            </w:r>
            <w:proofErr w:type="gramEnd"/>
            <w:r w:rsidRPr="00246607">
              <w:t xml:space="preserve"> разрабатываемой АО «СО ЕЭС».</w:t>
            </w:r>
          </w:p>
          <w:p w:rsidR="00AE0C84" w:rsidRPr="0012773C" w:rsidRDefault="00AE0C84" w:rsidP="00AE0C84">
            <w:pPr>
              <w:pStyle w:val="Default"/>
              <w:jc w:val="both"/>
            </w:pPr>
            <w:r w:rsidRPr="00246607">
              <w:t>АО «ОЭК» предлагается разработать альтернативный вариант усиления электрических сетей для технологического присоединения к ПС 220 кВ Нововнуково.</w:t>
            </w:r>
          </w:p>
        </w:tc>
      </w:tr>
      <w:tr w:rsidR="009F6AC1" w:rsidRPr="00586094" w:rsidTr="009F6AC1">
        <w:trPr>
          <w:trHeight w:val="300"/>
        </w:trPr>
        <w:tc>
          <w:tcPr>
            <w:tcW w:w="123" w:type="pct"/>
            <w:vMerge/>
            <w:shd w:val="clear" w:color="auto" w:fill="auto"/>
            <w:noWrap/>
            <w:vAlign w:val="center"/>
          </w:tcPr>
          <w:p w:rsidR="00150610" w:rsidRDefault="00150610" w:rsidP="0012773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shd w:val="clear" w:color="auto" w:fill="auto"/>
            <w:vAlign w:val="center"/>
          </w:tcPr>
          <w:p w:rsidR="00150610" w:rsidRDefault="00150610" w:rsidP="00127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shd w:val="clear" w:color="auto" w:fill="auto"/>
            <w:vAlign w:val="center"/>
          </w:tcPr>
          <w:p w:rsidR="00150610" w:rsidRDefault="00150610" w:rsidP="00065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vMerge/>
            <w:shd w:val="clear" w:color="auto" w:fill="auto"/>
            <w:vAlign w:val="center"/>
          </w:tcPr>
          <w:p w:rsidR="00150610" w:rsidRDefault="00150610" w:rsidP="00127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vMerge/>
            <w:shd w:val="clear" w:color="auto" w:fill="auto"/>
            <w:vAlign w:val="center"/>
          </w:tcPr>
          <w:p w:rsidR="00150610" w:rsidRPr="00D67427" w:rsidRDefault="00150610" w:rsidP="001277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150610" w:rsidRPr="00150610" w:rsidRDefault="00150610" w:rsidP="00150610">
            <w:pPr>
              <w:pStyle w:val="a9"/>
              <w:jc w:val="center"/>
            </w:pPr>
            <w:r w:rsidRPr="00150610">
              <w:t>3</w:t>
            </w:r>
          </w:p>
        </w:tc>
        <w:tc>
          <w:tcPr>
            <w:tcW w:w="1997" w:type="pct"/>
            <w:shd w:val="clear" w:color="auto" w:fill="auto"/>
            <w:vAlign w:val="center"/>
          </w:tcPr>
          <w:p w:rsidR="00150610" w:rsidRDefault="00150610" w:rsidP="00150610">
            <w:pPr>
              <w:pStyle w:val="a9"/>
              <w:jc w:val="both"/>
            </w:pPr>
            <w:r>
              <w:t>Скорректировать утвержденный срок постановки объекта электросетевого хозяйства под напряжение по инвестиционному проекту (</w:t>
            </w:r>
            <w:r>
              <w:rPr>
                <w:lang w:val="en-US"/>
              </w:rPr>
              <w:t>E</w:t>
            </w:r>
            <w:r w:rsidRPr="004537BD">
              <w:t>_</w:t>
            </w:r>
            <w:r>
              <w:rPr>
                <w:lang w:val="en-US"/>
              </w:rPr>
              <w:t>I</w:t>
            </w:r>
            <w:r>
              <w:t>-139026</w:t>
            </w:r>
            <w:r w:rsidRPr="004537BD">
              <w:t xml:space="preserve">) </w:t>
            </w:r>
            <w:r>
              <w:t xml:space="preserve">Строительство ПС 220/110/10 Саввинская с заходами </w:t>
            </w:r>
            <w:proofErr w:type="spellStart"/>
            <w:r>
              <w:t>двухцепной</w:t>
            </w:r>
            <w:proofErr w:type="spellEnd"/>
            <w:r>
              <w:t xml:space="preserve"> КВЛ Дорохово-Слобода 1,2 (500 МВА; 60 км; 62 шт.(РУ); 5 904 </w:t>
            </w:r>
            <w:proofErr w:type="spellStart"/>
            <w:r>
              <w:t>кв.м</w:t>
            </w:r>
            <w:proofErr w:type="spellEnd"/>
            <w:r>
              <w:t>.; 6 шт.(прочие)) на 2022 года.</w:t>
            </w:r>
          </w:p>
          <w:p w:rsidR="00150610" w:rsidRDefault="00150610" w:rsidP="007E538E">
            <w:pPr>
              <w:pStyle w:val="a9"/>
              <w:jc w:val="both"/>
            </w:pPr>
            <w:r w:rsidRPr="005E2A2C">
              <w:rPr>
                <w:b/>
              </w:rPr>
              <w:t>Обоснование предложения по корректировке:</w:t>
            </w:r>
            <w:r>
              <w:rPr>
                <w:b/>
              </w:rPr>
              <w:t xml:space="preserve"> </w:t>
            </w:r>
            <w:r>
              <w:t>Наличие обременений Московского РДУ по ПС «</w:t>
            </w:r>
            <w:proofErr w:type="spellStart"/>
            <w:r>
              <w:t>НовоВнуково</w:t>
            </w:r>
            <w:proofErr w:type="spellEnd"/>
            <w:r>
              <w:t xml:space="preserve">» «Усиление существующей электрической сети в </w:t>
            </w:r>
            <w:proofErr w:type="spellStart"/>
            <w:r>
              <w:lastRenderedPageBreak/>
              <w:t>энергорайоне</w:t>
            </w:r>
            <w:proofErr w:type="spellEnd"/>
            <w:r>
              <w:t xml:space="preserve"> ПС 220 кВ </w:t>
            </w:r>
            <w:proofErr w:type="spellStart"/>
            <w:r>
              <w:t>Нововнуков</w:t>
            </w:r>
            <w:proofErr w:type="spellEnd"/>
            <w:r>
              <w:t xml:space="preserve">» (строительство ПС 220 кВ Саввинская с установкой 2хАТ 220/110/10 кВ 250 МВА каждый, сооружение заходов на ПС 220 кВ Саввинская КВЛ 220 Дорохово – Слобода </w:t>
            </w:r>
            <w:r>
              <w:rPr>
                <w:lang w:val="en-US"/>
              </w:rPr>
              <w:t>I</w:t>
            </w:r>
            <w:r w:rsidRPr="00BF604C">
              <w:t xml:space="preserve">, </w:t>
            </w:r>
            <w:r>
              <w:rPr>
                <w:lang w:val="en-US"/>
              </w:rPr>
              <w:t>II</w:t>
            </w:r>
            <w:r w:rsidRPr="00BF604C">
              <w:t xml:space="preserve"> </w:t>
            </w:r>
            <w:r>
              <w:t xml:space="preserve">цепь, сооружение ВЛ 110 кВ Саввинская – Звенигород </w:t>
            </w:r>
            <w:r>
              <w:rPr>
                <w:lang w:val="en-US"/>
              </w:rPr>
              <w:t>I</w:t>
            </w:r>
            <w:r w:rsidRPr="00BF604C">
              <w:t xml:space="preserve">, </w:t>
            </w:r>
            <w:r>
              <w:rPr>
                <w:lang w:val="en-US"/>
              </w:rPr>
              <w:t>II</w:t>
            </w:r>
            <w:r w:rsidRPr="00BF604C">
              <w:t xml:space="preserve"> </w:t>
            </w:r>
            <w:r>
              <w:t xml:space="preserve">цепь и ВЛ 110 кВ Саввинская – Успенская </w:t>
            </w:r>
            <w:r>
              <w:rPr>
                <w:lang w:val="en-US"/>
              </w:rPr>
              <w:t>I</w:t>
            </w:r>
            <w:r w:rsidRPr="00BF604C">
              <w:t xml:space="preserve">, </w:t>
            </w:r>
            <w:r>
              <w:rPr>
                <w:lang w:val="en-US"/>
              </w:rPr>
              <w:t>II</w:t>
            </w:r>
            <w:r w:rsidRPr="00BF604C">
              <w:t xml:space="preserve"> </w:t>
            </w:r>
            <w:r>
              <w:t>цепь, а также перевод ВЛ 35 кВ Успенская – Голицыно на напряжение 110 кВ;» и не выполнение ПАО «Россети Московский Регион» инвестиционного проекта в более ранее сроки не позволяет АО «ОЭК» своевременно осуществить присоединение по заключенным договорам об осуществлении технологического присоединения Настоящее время в АО «ОЭК» имеются следующие заявки об осуществлении технологического присоединения от ПС «Нововнуково»:</w:t>
            </w:r>
          </w:p>
          <w:p w:rsidR="00150610" w:rsidRDefault="00150610" w:rsidP="007E538E">
            <w:pPr>
              <w:pStyle w:val="a9"/>
              <w:jc w:val="both"/>
            </w:pPr>
            <w:r>
              <w:t>- ООО «</w:t>
            </w:r>
            <w:proofErr w:type="spellStart"/>
            <w:r>
              <w:t>Трансстройинвест</w:t>
            </w:r>
            <w:proofErr w:type="spellEnd"/>
            <w:r>
              <w:t xml:space="preserve"> </w:t>
            </w:r>
            <w:proofErr w:type="spellStart"/>
            <w:r>
              <w:t>Девелопмент</w:t>
            </w:r>
            <w:proofErr w:type="spellEnd"/>
            <w:r>
              <w:t xml:space="preserve">» г. Москва, НАО, </w:t>
            </w:r>
            <w:proofErr w:type="spellStart"/>
            <w:r>
              <w:t>п.Марушкинское</w:t>
            </w:r>
            <w:proofErr w:type="spellEnd"/>
            <w:r>
              <w:t>, д. </w:t>
            </w:r>
            <w:proofErr w:type="spellStart"/>
            <w:r>
              <w:t>Постниково</w:t>
            </w:r>
            <w:proofErr w:type="spellEnd"/>
            <w:r>
              <w:t>.</w:t>
            </w:r>
          </w:p>
          <w:p w:rsidR="00150610" w:rsidRDefault="00150610" w:rsidP="007E538E">
            <w:pPr>
              <w:pStyle w:val="a9"/>
              <w:jc w:val="both"/>
            </w:pPr>
            <w:r>
              <w:t>- ООО «</w:t>
            </w:r>
            <w:proofErr w:type="spellStart"/>
            <w:r>
              <w:t>ИнвестАльянс</w:t>
            </w:r>
            <w:proofErr w:type="spellEnd"/>
            <w:r>
              <w:t xml:space="preserve">» г. Москва, </w:t>
            </w:r>
            <w:proofErr w:type="spellStart"/>
            <w:r>
              <w:t>п.Филимоновское</w:t>
            </w:r>
            <w:proofErr w:type="spellEnd"/>
            <w:r>
              <w:t>, ОАО «</w:t>
            </w:r>
            <w:proofErr w:type="spellStart"/>
            <w:r>
              <w:t>Марьинская</w:t>
            </w:r>
            <w:proofErr w:type="spellEnd"/>
            <w:r>
              <w:t xml:space="preserve"> Птицефабрика».</w:t>
            </w:r>
          </w:p>
          <w:p w:rsidR="00150610" w:rsidRDefault="00150610" w:rsidP="007E538E">
            <w:pPr>
              <w:pStyle w:val="a9"/>
              <w:jc w:val="both"/>
            </w:pPr>
            <w:r>
              <w:t>- Общество с ограниченной ответственностью «Переделкино Ближнее» г. Москва, п. </w:t>
            </w:r>
            <w:proofErr w:type="spellStart"/>
            <w:r>
              <w:t>Внуковское</w:t>
            </w:r>
            <w:proofErr w:type="spellEnd"/>
            <w:r>
              <w:t>, д. </w:t>
            </w:r>
            <w:proofErr w:type="spellStart"/>
            <w:r>
              <w:t>Рассказовка</w:t>
            </w:r>
            <w:proofErr w:type="spellEnd"/>
            <w:r>
              <w:t>, уч. № 13/1, 13/2, 13/4.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150610" w:rsidRDefault="001C223B" w:rsidP="0012773C">
            <w:pPr>
              <w:pStyle w:val="Default"/>
              <w:jc w:val="both"/>
            </w:pPr>
            <w:r>
              <w:lastRenderedPageBreak/>
              <w:t>Предложения не учтены в проекте корректировки ИПР, в связи с тем, что в настоящий момент у ПАО «Россети Московский регион» отсутствуют обязательства перед АО «ОЭК» по заключенным договорам ТП по указанным в предложениях мероприятиям, о чем АО «ОЭК» уведомлен</w:t>
            </w:r>
            <w:r w:rsidR="004C125D">
              <w:t>о</w:t>
            </w:r>
            <w:r>
              <w:t xml:space="preserve"> в </w:t>
            </w:r>
            <w:r>
              <w:lastRenderedPageBreak/>
              <w:t>официальном порядке.</w:t>
            </w:r>
          </w:p>
          <w:p w:rsidR="001C223B" w:rsidRDefault="00EA349A" w:rsidP="00EA349A">
            <w:pPr>
              <w:pStyle w:val="Default"/>
              <w:jc w:val="both"/>
            </w:pPr>
            <w:r>
              <w:t>С учетом дефицита источника финансирования р</w:t>
            </w:r>
            <w:r w:rsidR="001C223B">
              <w:t xml:space="preserve">еализация проекта </w:t>
            </w:r>
            <w:r w:rsidR="001C223B" w:rsidRPr="001C223B">
              <w:t>E_I-139026</w:t>
            </w:r>
            <w:r w:rsidR="001C223B">
              <w:t xml:space="preserve"> по строительству ПС 220/110/10 Саввинская</w:t>
            </w:r>
            <w:r>
              <w:t xml:space="preserve"> в проекте корректировки ИПР предусмотрена в 2025-2026 годах.</w:t>
            </w:r>
          </w:p>
          <w:p w:rsidR="00AE0C84" w:rsidRPr="00246607" w:rsidRDefault="00AE0C84" w:rsidP="00AE0C84">
            <w:pPr>
              <w:pStyle w:val="Default"/>
              <w:jc w:val="both"/>
            </w:pPr>
            <w:r w:rsidRPr="00246607">
              <w:t xml:space="preserve">Кроме того необходимость реализации мероприятий по строительству ПС 220 кВ Саввинская с заходами КВЛ 220 Дорохово – Слобода I, II цепь и, соответственно, сооружение ВЛ 110 кВ Саввинская – Звенигород I, II цепь и ВЛ 110 кВ Саввинская – Успенская I, II цепь, должна быть подтверждена Схемой и программой развития Единой энергетической системы России на 2021-2027 </w:t>
            </w:r>
            <w:proofErr w:type="gramStart"/>
            <w:r w:rsidRPr="00246607">
              <w:t>гг. ,</w:t>
            </w:r>
            <w:proofErr w:type="gramEnd"/>
            <w:r w:rsidRPr="00246607">
              <w:t xml:space="preserve"> разрабатываемой АО «СО ЕЭС».</w:t>
            </w:r>
          </w:p>
          <w:p w:rsidR="00AE0C84" w:rsidRPr="0012773C" w:rsidRDefault="00AE0C84" w:rsidP="00AE0C84">
            <w:pPr>
              <w:pStyle w:val="Default"/>
              <w:jc w:val="both"/>
            </w:pPr>
            <w:r w:rsidRPr="00246607">
              <w:t>АО «ОЭК» предлагается разработать альтернативный вариант усиления электрических сетей для технологического присоединения к ПС 220 кВ Нововнуково.</w:t>
            </w:r>
          </w:p>
        </w:tc>
      </w:tr>
      <w:tr w:rsidR="009F6AC1" w:rsidRPr="00586094" w:rsidTr="009F6AC1">
        <w:trPr>
          <w:trHeight w:val="1380"/>
        </w:trPr>
        <w:tc>
          <w:tcPr>
            <w:tcW w:w="123" w:type="pct"/>
            <w:vMerge/>
            <w:shd w:val="clear" w:color="auto" w:fill="auto"/>
            <w:noWrap/>
            <w:vAlign w:val="center"/>
          </w:tcPr>
          <w:p w:rsidR="00150610" w:rsidRDefault="00150610" w:rsidP="0012773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shd w:val="clear" w:color="auto" w:fill="auto"/>
            <w:vAlign w:val="center"/>
          </w:tcPr>
          <w:p w:rsidR="00150610" w:rsidRDefault="00150610" w:rsidP="00127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shd w:val="clear" w:color="auto" w:fill="auto"/>
            <w:vAlign w:val="center"/>
          </w:tcPr>
          <w:p w:rsidR="00150610" w:rsidRDefault="00150610" w:rsidP="00065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  <w:vMerge/>
            <w:shd w:val="clear" w:color="auto" w:fill="auto"/>
            <w:vAlign w:val="center"/>
          </w:tcPr>
          <w:p w:rsidR="00150610" w:rsidRDefault="00150610" w:rsidP="00127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vMerge/>
            <w:shd w:val="clear" w:color="auto" w:fill="auto"/>
            <w:vAlign w:val="center"/>
          </w:tcPr>
          <w:p w:rsidR="00150610" w:rsidRPr="00D67427" w:rsidRDefault="00150610" w:rsidP="0012773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" w:type="pct"/>
            <w:vAlign w:val="center"/>
          </w:tcPr>
          <w:p w:rsidR="00150610" w:rsidRPr="00150610" w:rsidRDefault="00150610" w:rsidP="00150610">
            <w:pPr>
              <w:pStyle w:val="a9"/>
              <w:jc w:val="center"/>
            </w:pPr>
            <w:r w:rsidRPr="00150610">
              <w:t>4</w:t>
            </w:r>
          </w:p>
        </w:tc>
        <w:tc>
          <w:tcPr>
            <w:tcW w:w="1997" w:type="pct"/>
            <w:shd w:val="clear" w:color="auto" w:fill="auto"/>
            <w:vAlign w:val="center"/>
          </w:tcPr>
          <w:p w:rsidR="00150610" w:rsidRDefault="00150610" w:rsidP="005E2A2C">
            <w:pPr>
              <w:pStyle w:val="a9"/>
              <w:jc w:val="both"/>
            </w:pPr>
            <w:r>
              <w:t>Скорректировать утвержденный срок постановки объекта электросетевого хозяйства под напряжение по инвестиционному проекту (</w:t>
            </w:r>
            <w:r>
              <w:rPr>
                <w:lang w:val="en-US"/>
              </w:rPr>
              <w:t>E</w:t>
            </w:r>
            <w:r w:rsidRPr="004537BD">
              <w:t>_</w:t>
            </w:r>
            <w:r>
              <w:rPr>
                <w:lang w:val="en-US"/>
              </w:rPr>
              <w:t>I</w:t>
            </w:r>
            <w:r>
              <w:t>-184470</w:t>
            </w:r>
            <w:r w:rsidRPr="004537BD">
              <w:t xml:space="preserve">) </w:t>
            </w:r>
            <w:r>
              <w:t>Реконструкция «КЛ 220 кВ Владыкино – Бескудниково №1, №2» (8,2 км; 3 970 </w:t>
            </w:r>
            <w:proofErr w:type="spellStart"/>
            <w:r>
              <w:t>п.м</w:t>
            </w:r>
            <w:proofErr w:type="spellEnd"/>
            <w:r>
              <w:t>.; 15 шт.(прочие) на 1 квартал 2021 года.</w:t>
            </w:r>
          </w:p>
          <w:p w:rsidR="00150610" w:rsidRDefault="00150610" w:rsidP="007E538E">
            <w:pPr>
              <w:pStyle w:val="a9"/>
              <w:jc w:val="both"/>
            </w:pPr>
            <w:r w:rsidRPr="005E2A2C">
              <w:rPr>
                <w:b/>
              </w:rPr>
              <w:t>Обоснование предложения по корректировке:</w:t>
            </w:r>
            <w:r w:rsidRPr="007E538E">
              <w:t xml:space="preserve"> Наличие обременений Московского РДУ </w:t>
            </w:r>
            <w:r>
              <w:t xml:space="preserve">по ПС «Марфино» « Реконструкция КВЛ 220 кВ </w:t>
            </w:r>
            <w:proofErr w:type="spellStart"/>
            <w:r>
              <w:t>Владыкино</w:t>
            </w:r>
            <w:proofErr w:type="spellEnd"/>
            <w:r>
              <w:t xml:space="preserve"> – </w:t>
            </w:r>
            <w:proofErr w:type="spellStart"/>
            <w:r>
              <w:t>Бескуднико</w:t>
            </w:r>
            <w:proofErr w:type="spellEnd"/>
            <w:r>
              <w:t xml:space="preserve"> № 2 (замена кабельного участка от ПС 220 кВ «Владыкино» до переходного пункта на ПС 500 кВ «Бескудниково») с увеличением пропускной способности.» и не выполнение ПАО «Россети Московский Регион» инвестиционного проекта в более ранее сроки не позволяет АО «ОЭК» своевременно осуществить присоединение по заключенным договорам об осуществлении технологического присоединения. В Настоящее время в АО «ОЭК» имеются следующие заявки об осуществлении технологического присоединения от ПС «Марфино»:</w:t>
            </w:r>
          </w:p>
          <w:p w:rsidR="00150610" w:rsidRDefault="00150610" w:rsidP="007E538E">
            <w:pPr>
              <w:pStyle w:val="a9"/>
              <w:jc w:val="both"/>
            </w:pPr>
            <w:r>
              <w:t>- Общество с ограниченной ответственностью «СМТ». г. Москва, ул. </w:t>
            </w:r>
            <w:proofErr w:type="spellStart"/>
            <w:r>
              <w:t>Михалковская</w:t>
            </w:r>
            <w:proofErr w:type="spellEnd"/>
            <w:r>
              <w:t>, вл. 48</w:t>
            </w:r>
          </w:p>
        </w:tc>
        <w:tc>
          <w:tcPr>
            <w:tcW w:w="1282" w:type="pct"/>
            <w:shd w:val="clear" w:color="auto" w:fill="auto"/>
            <w:vAlign w:val="center"/>
          </w:tcPr>
          <w:p w:rsidR="00EA349A" w:rsidRDefault="00EA349A" w:rsidP="00EA349A">
            <w:pPr>
              <w:pStyle w:val="Default"/>
              <w:jc w:val="both"/>
            </w:pPr>
            <w:r>
              <w:t>Предложения не учтены в проекте корректировки ИПР, в связи с тем, что в настоящий момент у ПАО «Россети Московский регион» отсутствуют обязательства перед АО «ОЭК» по заключенным договорам ТП по указанным в предложениях мероприятиям, о чем АО «ОЭК» уведомлен в официальном порядке.</w:t>
            </w:r>
          </w:p>
          <w:p w:rsidR="00150610" w:rsidRDefault="00EA349A" w:rsidP="00EA349A">
            <w:pPr>
              <w:pStyle w:val="Default"/>
              <w:jc w:val="both"/>
            </w:pPr>
            <w:r>
              <w:t xml:space="preserve">С учетом дефицита источника финансирования реализация проекта </w:t>
            </w:r>
            <w:r w:rsidRPr="001C223B">
              <w:t>E_I-</w:t>
            </w:r>
            <w:r>
              <w:t>184470 по реконструкции «КЛ 220 кВ Владыкино – Бескудниково №1, №2 в проекте корректировки ИПР предусмотрена со сроком до 2025 года.</w:t>
            </w:r>
          </w:p>
          <w:p w:rsidR="00AE0C84" w:rsidRPr="0012773C" w:rsidRDefault="00AE0C84" w:rsidP="00AE0C84">
            <w:pPr>
              <w:pStyle w:val="Default"/>
              <w:jc w:val="both"/>
            </w:pPr>
            <w:bookmarkStart w:id="0" w:name="_GoBack"/>
            <w:bookmarkEnd w:id="0"/>
            <w:r w:rsidRPr="00246607">
              <w:t>АО «ОЭК» предлагается разработать альтернативный вариант усиления электрических сетей для технологического присоединения к ПС 220 кВ Марфино.</w:t>
            </w:r>
          </w:p>
        </w:tc>
      </w:tr>
    </w:tbl>
    <w:p w:rsidR="00D67427" w:rsidRPr="00586094" w:rsidRDefault="00D67427" w:rsidP="0058609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D67427" w:rsidRPr="00586094" w:rsidSect="00C54C91">
      <w:pgSz w:w="23814" w:h="16839" w:orient="landscape" w:code="8"/>
      <w:pgMar w:top="567" w:right="567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6387B"/>
    <w:multiLevelType w:val="hybridMultilevel"/>
    <w:tmpl w:val="18CC88E2"/>
    <w:lvl w:ilvl="0" w:tplc="F3C69E7C">
      <w:start w:val="1"/>
      <w:numFmt w:val="bullet"/>
      <w:lvlText w:val="­"/>
      <w:lvlJc w:val="left"/>
      <w:pPr>
        <w:ind w:left="829" w:hanging="360"/>
      </w:pPr>
      <w:rPr>
        <w:rFonts w:ascii="Courier New" w:hAnsi="Courier New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" w15:restartNumberingAfterBreak="0">
    <w:nsid w:val="32E37665"/>
    <w:multiLevelType w:val="multilevel"/>
    <w:tmpl w:val="39CE1E72"/>
    <w:lvl w:ilvl="0">
      <w:start w:val="1"/>
      <w:numFmt w:val="decimal"/>
      <w:lvlText w:val="%1."/>
      <w:lvlJc w:val="left"/>
      <w:pPr>
        <w:ind w:left="1065" w:hanging="705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490" w:hanging="720"/>
      </w:pPr>
    </w:lvl>
    <w:lvl w:ilvl="3">
      <w:start w:val="1"/>
      <w:numFmt w:val="decimal"/>
      <w:isLgl/>
      <w:lvlText w:val="%1.%2.%3.%4."/>
      <w:lvlJc w:val="left"/>
      <w:pPr>
        <w:ind w:left="3555" w:hanging="1080"/>
      </w:pPr>
    </w:lvl>
    <w:lvl w:ilvl="4">
      <w:start w:val="1"/>
      <w:numFmt w:val="decimal"/>
      <w:isLgl/>
      <w:lvlText w:val="%1.%2.%3.%4.%5."/>
      <w:lvlJc w:val="left"/>
      <w:pPr>
        <w:ind w:left="4260" w:hanging="1080"/>
      </w:pPr>
    </w:lvl>
    <w:lvl w:ilvl="5">
      <w:start w:val="1"/>
      <w:numFmt w:val="decimal"/>
      <w:isLgl/>
      <w:lvlText w:val="%1.%2.%3.%4.%5.%6."/>
      <w:lvlJc w:val="left"/>
      <w:pPr>
        <w:ind w:left="5325" w:hanging="1440"/>
      </w:pPr>
    </w:lvl>
    <w:lvl w:ilvl="6">
      <w:start w:val="1"/>
      <w:numFmt w:val="decimal"/>
      <w:isLgl/>
      <w:lvlText w:val="%1.%2.%3.%4.%5.%6.%7."/>
      <w:lvlJc w:val="left"/>
      <w:pPr>
        <w:ind w:left="6390" w:hanging="1800"/>
      </w:pPr>
    </w:lvl>
    <w:lvl w:ilvl="7">
      <w:start w:val="1"/>
      <w:numFmt w:val="decimal"/>
      <w:isLgl/>
      <w:lvlText w:val="%1.%2.%3.%4.%5.%6.%7.%8."/>
      <w:lvlJc w:val="left"/>
      <w:pPr>
        <w:ind w:left="7095" w:hanging="1800"/>
      </w:p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</w:lvl>
  </w:abstractNum>
  <w:abstractNum w:abstractNumId="2" w15:restartNumberingAfterBreak="0">
    <w:nsid w:val="3D523FE2"/>
    <w:multiLevelType w:val="hybridMultilevel"/>
    <w:tmpl w:val="81563D9A"/>
    <w:lvl w:ilvl="0" w:tplc="CB6EB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6FD3285"/>
    <w:multiLevelType w:val="multilevel"/>
    <w:tmpl w:val="39CE1E72"/>
    <w:lvl w:ilvl="0">
      <w:start w:val="1"/>
      <w:numFmt w:val="decimal"/>
      <w:lvlText w:val="%1."/>
      <w:lvlJc w:val="left"/>
      <w:pPr>
        <w:ind w:left="1065" w:hanging="705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490" w:hanging="720"/>
      </w:pPr>
    </w:lvl>
    <w:lvl w:ilvl="3">
      <w:start w:val="1"/>
      <w:numFmt w:val="decimal"/>
      <w:isLgl/>
      <w:lvlText w:val="%1.%2.%3.%4."/>
      <w:lvlJc w:val="left"/>
      <w:pPr>
        <w:ind w:left="3555" w:hanging="1080"/>
      </w:pPr>
    </w:lvl>
    <w:lvl w:ilvl="4">
      <w:start w:val="1"/>
      <w:numFmt w:val="decimal"/>
      <w:isLgl/>
      <w:lvlText w:val="%1.%2.%3.%4.%5."/>
      <w:lvlJc w:val="left"/>
      <w:pPr>
        <w:ind w:left="4260" w:hanging="1080"/>
      </w:pPr>
    </w:lvl>
    <w:lvl w:ilvl="5">
      <w:start w:val="1"/>
      <w:numFmt w:val="decimal"/>
      <w:isLgl/>
      <w:lvlText w:val="%1.%2.%3.%4.%5.%6."/>
      <w:lvlJc w:val="left"/>
      <w:pPr>
        <w:ind w:left="5325" w:hanging="1440"/>
      </w:pPr>
    </w:lvl>
    <w:lvl w:ilvl="6">
      <w:start w:val="1"/>
      <w:numFmt w:val="decimal"/>
      <w:isLgl/>
      <w:lvlText w:val="%1.%2.%3.%4.%5.%6.%7."/>
      <w:lvlJc w:val="left"/>
      <w:pPr>
        <w:ind w:left="6390" w:hanging="1800"/>
      </w:pPr>
    </w:lvl>
    <w:lvl w:ilvl="7">
      <w:start w:val="1"/>
      <w:numFmt w:val="decimal"/>
      <w:isLgl/>
      <w:lvlText w:val="%1.%2.%3.%4.%5.%6.%7.%8."/>
      <w:lvlJc w:val="left"/>
      <w:pPr>
        <w:ind w:left="7095" w:hanging="1800"/>
      </w:p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</w:lvl>
  </w:abstractNum>
  <w:abstractNum w:abstractNumId="4" w15:restartNumberingAfterBreak="0">
    <w:nsid w:val="790D393D"/>
    <w:multiLevelType w:val="hybridMultilevel"/>
    <w:tmpl w:val="BAB66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7A3"/>
    <w:rsid w:val="00003C6B"/>
    <w:rsid w:val="00065297"/>
    <w:rsid w:val="001104F9"/>
    <w:rsid w:val="0012773C"/>
    <w:rsid w:val="0013422B"/>
    <w:rsid w:val="00150610"/>
    <w:rsid w:val="00165096"/>
    <w:rsid w:val="00173BDA"/>
    <w:rsid w:val="00175E84"/>
    <w:rsid w:val="00177800"/>
    <w:rsid w:val="00195F8B"/>
    <w:rsid w:val="001A0038"/>
    <w:rsid w:val="001C223B"/>
    <w:rsid w:val="001E3302"/>
    <w:rsid w:val="00216D0B"/>
    <w:rsid w:val="00245019"/>
    <w:rsid w:val="00246607"/>
    <w:rsid w:val="00251DFC"/>
    <w:rsid w:val="002D10C9"/>
    <w:rsid w:val="002D6CF4"/>
    <w:rsid w:val="002E50FB"/>
    <w:rsid w:val="002E6636"/>
    <w:rsid w:val="00300C4E"/>
    <w:rsid w:val="003161AD"/>
    <w:rsid w:val="003322CA"/>
    <w:rsid w:val="00363AA0"/>
    <w:rsid w:val="003839C0"/>
    <w:rsid w:val="00395F5B"/>
    <w:rsid w:val="003D0408"/>
    <w:rsid w:val="00416787"/>
    <w:rsid w:val="00417442"/>
    <w:rsid w:val="00426715"/>
    <w:rsid w:val="004537BD"/>
    <w:rsid w:val="00463752"/>
    <w:rsid w:val="00495378"/>
    <w:rsid w:val="004B3421"/>
    <w:rsid w:val="004C125D"/>
    <w:rsid w:val="004F134E"/>
    <w:rsid w:val="00505564"/>
    <w:rsid w:val="00535E5C"/>
    <w:rsid w:val="00540D07"/>
    <w:rsid w:val="0058308D"/>
    <w:rsid w:val="00586094"/>
    <w:rsid w:val="00595CA2"/>
    <w:rsid w:val="005D1DFB"/>
    <w:rsid w:val="005D5368"/>
    <w:rsid w:val="005E2A2C"/>
    <w:rsid w:val="005E5340"/>
    <w:rsid w:val="005F6463"/>
    <w:rsid w:val="006240A5"/>
    <w:rsid w:val="0064252C"/>
    <w:rsid w:val="006632C8"/>
    <w:rsid w:val="006825CE"/>
    <w:rsid w:val="0069259D"/>
    <w:rsid w:val="00693186"/>
    <w:rsid w:val="006A2404"/>
    <w:rsid w:val="006E3475"/>
    <w:rsid w:val="006E7E48"/>
    <w:rsid w:val="007076CA"/>
    <w:rsid w:val="00736101"/>
    <w:rsid w:val="007913A7"/>
    <w:rsid w:val="007B1951"/>
    <w:rsid w:val="007B4A4A"/>
    <w:rsid w:val="007E4965"/>
    <w:rsid w:val="007E538E"/>
    <w:rsid w:val="00811D4D"/>
    <w:rsid w:val="0081585D"/>
    <w:rsid w:val="00843357"/>
    <w:rsid w:val="00847785"/>
    <w:rsid w:val="00882B86"/>
    <w:rsid w:val="00884A47"/>
    <w:rsid w:val="008B335F"/>
    <w:rsid w:val="008C1B2B"/>
    <w:rsid w:val="008C4115"/>
    <w:rsid w:val="008E77BE"/>
    <w:rsid w:val="00907A19"/>
    <w:rsid w:val="0092267C"/>
    <w:rsid w:val="00951084"/>
    <w:rsid w:val="00964CD0"/>
    <w:rsid w:val="00975C16"/>
    <w:rsid w:val="00993996"/>
    <w:rsid w:val="00995B01"/>
    <w:rsid w:val="009B7137"/>
    <w:rsid w:val="009B7CD7"/>
    <w:rsid w:val="009F1747"/>
    <w:rsid w:val="009F6AC1"/>
    <w:rsid w:val="00A02DDD"/>
    <w:rsid w:val="00A20ED4"/>
    <w:rsid w:val="00A82AE1"/>
    <w:rsid w:val="00AC45F1"/>
    <w:rsid w:val="00AE0C84"/>
    <w:rsid w:val="00AE6301"/>
    <w:rsid w:val="00AF6E75"/>
    <w:rsid w:val="00B11CD6"/>
    <w:rsid w:val="00B423DE"/>
    <w:rsid w:val="00B667BA"/>
    <w:rsid w:val="00B72F09"/>
    <w:rsid w:val="00B96634"/>
    <w:rsid w:val="00BB48B7"/>
    <w:rsid w:val="00BD1488"/>
    <w:rsid w:val="00BF604C"/>
    <w:rsid w:val="00C23F99"/>
    <w:rsid w:val="00C519FF"/>
    <w:rsid w:val="00C54C91"/>
    <w:rsid w:val="00C630E1"/>
    <w:rsid w:val="00C6339F"/>
    <w:rsid w:val="00C94E10"/>
    <w:rsid w:val="00CD6805"/>
    <w:rsid w:val="00CE070B"/>
    <w:rsid w:val="00CF1CAC"/>
    <w:rsid w:val="00D141C5"/>
    <w:rsid w:val="00D17D1A"/>
    <w:rsid w:val="00D67427"/>
    <w:rsid w:val="00D747DD"/>
    <w:rsid w:val="00D83CAF"/>
    <w:rsid w:val="00D83E7B"/>
    <w:rsid w:val="00D925F2"/>
    <w:rsid w:val="00D93336"/>
    <w:rsid w:val="00DA5838"/>
    <w:rsid w:val="00DB137D"/>
    <w:rsid w:val="00DC24AB"/>
    <w:rsid w:val="00DE72D0"/>
    <w:rsid w:val="00E001C5"/>
    <w:rsid w:val="00E04D0C"/>
    <w:rsid w:val="00E172AD"/>
    <w:rsid w:val="00E356B8"/>
    <w:rsid w:val="00EA1C2E"/>
    <w:rsid w:val="00EA349A"/>
    <w:rsid w:val="00EE152F"/>
    <w:rsid w:val="00EE5023"/>
    <w:rsid w:val="00F357A3"/>
    <w:rsid w:val="00F8505E"/>
    <w:rsid w:val="00FC4EEF"/>
    <w:rsid w:val="00FE5F63"/>
    <w:rsid w:val="00FF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99618D-12A5-4B85-AFB7-0EE081BA6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D1A"/>
    <w:pPr>
      <w:ind w:left="720"/>
      <w:contextualSpacing/>
    </w:pPr>
  </w:style>
  <w:style w:type="paragraph" w:styleId="a4">
    <w:name w:val="Plain Text"/>
    <w:basedOn w:val="a"/>
    <w:link w:val="a5"/>
    <w:uiPriority w:val="99"/>
    <w:unhideWhenUsed/>
    <w:rsid w:val="005F6463"/>
    <w:pPr>
      <w:spacing w:after="0" w:line="240" w:lineRule="auto"/>
    </w:pPr>
    <w:rPr>
      <w:rFonts w:ascii="Calibri" w:hAnsi="Calibri"/>
      <w:szCs w:val="21"/>
    </w:rPr>
  </w:style>
  <w:style w:type="character" w:customStyle="1" w:styleId="a5">
    <w:name w:val="Текст Знак"/>
    <w:basedOn w:val="a0"/>
    <w:link w:val="a4"/>
    <w:uiPriority w:val="99"/>
    <w:rsid w:val="005F6463"/>
    <w:rPr>
      <w:rFonts w:ascii="Calibri" w:hAnsi="Calibri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EE5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502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84A47"/>
    <w:rPr>
      <w:color w:val="0000FF" w:themeColor="hyperlink"/>
      <w:u w:val="single"/>
    </w:rPr>
  </w:style>
  <w:style w:type="character" w:customStyle="1" w:styleId="FontStyle204">
    <w:name w:val="Font Style204"/>
    <w:uiPriority w:val="99"/>
    <w:rsid w:val="00B96634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link w:val="aa"/>
    <w:uiPriority w:val="99"/>
    <w:unhideWhenUsed/>
    <w:rsid w:val="009226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бычный (веб) Знак"/>
    <w:link w:val="a9"/>
    <w:uiPriority w:val="99"/>
    <w:locked/>
    <w:rsid w:val="00922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D04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9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00DAE-9C4E-4F90-9FFD-58DD44C30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MOESK</Company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Илатовский Алексей Евгеньевич</dc:creator>
  <cp:lastModifiedBy>Волков Дмитрий Валерьевич</cp:lastModifiedBy>
  <cp:revision>4</cp:revision>
  <cp:lastPrinted>2021-02-26T06:23:00Z</cp:lastPrinted>
  <dcterms:created xsi:type="dcterms:W3CDTF">2021-02-24T14:55:00Z</dcterms:created>
  <dcterms:modified xsi:type="dcterms:W3CDTF">2021-02-26T06:24:00Z</dcterms:modified>
</cp:coreProperties>
</file>